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eastAsia="zh-CN"/>
        </w:rPr>
        <w:t>妇产科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电动产床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Theme="minorEastAsia" w:hAnsiTheme="minorEastAsia" w:eastAsiaTheme="minorEastAsia" w:cstheme="minorEastAsia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电动产床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推荐品牌 ①威高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32"/>
          <w:lang w:val="en-US" w:eastAsia="zh-CN"/>
        </w:rPr>
        <w:t xml:space="preserve">育达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32"/>
          <w:lang w:val="en-US" w:eastAsia="zh-CN"/>
        </w:rPr>
        <w:t>欣雨辰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09110373"/>
    <w:rsid w:val="032D794E"/>
    <w:rsid w:val="09110373"/>
    <w:rsid w:val="2C287392"/>
    <w:rsid w:val="3CC56885"/>
    <w:rsid w:val="4C192647"/>
    <w:rsid w:val="59223B71"/>
    <w:rsid w:val="61DC7DFA"/>
    <w:rsid w:val="62D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341</Characters>
  <Lines>0</Lines>
  <Paragraphs>0</Paragraphs>
  <TotalTime>1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2023-07-13T06:48:00Z</dcterms:created>
  <dc:creator>落.</dc:creator>
  <cp:lastModifiedBy>鑫达人</cp:lastModifiedBy>
  <dcterms:modified xsi:type="dcterms:W3CDTF">2023-07-14T06:48:10Z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6153B21F1A4D477EB88CE1E00C00CF84_11</vt:lpwstr>
  </property>
</Properties>
</file>